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8554" w14:textId="3597DE97" w:rsidR="0040507F" w:rsidRDefault="00E111E6">
      <w:pPr>
        <w:spacing w:after="223" w:line="265" w:lineRule="auto"/>
        <w:ind w:left="1006" w:right="991" w:hanging="10"/>
        <w:jc w:val="center"/>
      </w:pPr>
      <w:r>
        <w:rPr>
          <w:rFonts w:ascii="Times New Roman" w:eastAsia="Times New Roman" w:hAnsi="Times New Roman" w:cs="Times New Roman"/>
          <w:sz w:val="26"/>
        </w:rPr>
        <w:t>L</w:t>
      </w:r>
      <w:r w:rsidR="00B331DF">
        <w:rPr>
          <w:rFonts w:ascii="Times New Roman" w:eastAsia="Times New Roman" w:hAnsi="Times New Roman" w:cs="Times New Roman"/>
          <w:sz w:val="26"/>
        </w:rPr>
        <w:t>EGAL NOTICE</w:t>
      </w:r>
    </w:p>
    <w:p w14:paraId="24D2D823" w14:textId="69349E47" w:rsidR="0040507F" w:rsidRDefault="00B331DF">
      <w:pPr>
        <w:spacing w:after="16" w:line="249" w:lineRule="auto"/>
        <w:ind w:left="5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PLEASE TAKE NOTICE, that the </w:t>
      </w:r>
      <w:r w:rsidR="00FE5296">
        <w:rPr>
          <w:rFonts w:ascii="Times New Roman" w:eastAsia="Times New Roman" w:hAnsi="Times New Roman" w:cs="Times New Roman"/>
          <w:sz w:val="24"/>
        </w:rPr>
        <w:t xml:space="preserve">Zoning </w:t>
      </w:r>
      <w:r>
        <w:rPr>
          <w:rFonts w:ascii="Times New Roman" w:eastAsia="Times New Roman" w:hAnsi="Times New Roman" w:cs="Times New Roman"/>
          <w:sz w:val="24"/>
        </w:rPr>
        <w:t>Board of Appeals of</w:t>
      </w:r>
      <w:r w:rsidR="00FE52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Inc. Village of</w:t>
      </w:r>
      <w:r w:rsidR="00FE52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Williston Park will hold a public hearing (open to the public) as follows:</w:t>
      </w:r>
    </w:p>
    <w:tbl>
      <w:tblPr>
        <w:tblStyle w:val="TableGrid"/>
        <w:tblW w:w="4549" w:type="dxa"/>
        <w:tblInd w:w="717" w:type="dxa"/>
        <w:tblLook w:val="04A0" w:firstRow="1" w:lastRow="0" w:firstColumn="1" w:lastColumn="0" w:noHBand="0" w:noVBand="1"/>
      </w:tblPr>
      <w:tblGrid>
        <w:gridCol w:w="1297"/>
        <w:gridCol w:w="3252"/>
      </w:tblGrid>
      <w:tr w:rsidR="0040507F" w14:paraId="3040C1E9" w14:textId="77777777">
        <w:trPr>
          <w:trHeight w:val="386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D410CF9" w14:textId="77777777" w:rsidR="00FE5296" w:rsidRDefault="00FE5296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BA6A7D" w14:textId="7FD90C65" w:rsidR="0040507F" w:rsidRDefault="00B331DF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DATE: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345E769C" w14:textId="77777777" w:rsidR="00FE5296" w:rsidRDefault="00FE5296">
            <w:pPr>
              <w:ind w:left="15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942AF4" w14:textId="739BA038" w:rsidR="0040507F" w:rsidRDefault="00FE5296">
            <w:pPr>
              <w:ind w:left="153"/>
            </w:pPr>
            <w:r>
              <w:rPr>
                <w:rFonts w:ascii="Times New Roman" w:eastAsia="Times New Roman" w:hAnsi="Times New Roman" w:cs="Times New Roman"/>
                <w:sz w:val="24"/>
              </w:rPr>
              <w:t>Wednesday, February 21, 2024</w:t>
            </w:r>
          </w:p>
        </w:tc>
      </w:tr>
      <w:tr w:rsidR="0040507F" w14:paraId="6AD34BFE" w14:textId="77777777">
        <w:trPr>
          <w:trHeight w:val="55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BD75E" w14:textId="77777777" w:rsidR="0040507F" w:rsidRDefault="00B331DF">
            <w:r>
              <w:rPr>
                <w:rFonts w:ascii="Times New Roman" w:eastAsia="Times New Roman" w:hAnsi="Times New Roman" w:cs="Times New Roman"/>
                <w:sz w:val="24"/>
              </w:rPr>
              <w:t>TIME: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2152E" w14:textId="43F70FE3" w:rsidR="0040507F" w:rsidRDefault="00FE5296">
            <w:pPr>
              <w:ind w:left="153"/>
            </w:pPr>
            <w:r>
              <w:t>7:00 pm</w:t>
            </w:r>
          </w:p>
        </w:tc>
      </w:tr>
      <w:tr w:rsidR="0040507F" w14:paraId="0F605C4E" w14:textId="77777777">
        <w:trPr>
          <w:trHeight w:val="662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71737A6" w14:textId="77777777" w:rsidR="0040507F" w:rsidRDefault="00B331DF">
            <w:r>
              <w:rPr>
                <w:sz w:val="32"/>
              </w:rPr>
              <w:t>PLACE: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9123D" w14:textId="77777777" w:rsidR="0040507F" w:rsidRDefault="00B331DF">
            <w:pPr>
              <w:ind w:left="153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Village Hall, 494 Willis Avenue Williston Park, NY 11596</w:t>
            </w:r>
          </w:p>
          <w:p w14:paraId="60BEB631" w14:textId="77777777" w:rsidR="00FE5296" w:rsidRDefault="00FE5296">
            <w:pPr>
              <w:ind w:left="153" w:hanging="5"/>
              <w:jc w:val="both"/>
            </w:pPr>
          </w:p>
        </w:tc>
      </w:tr>
    </w:tbl>
    <w:p w14:paraId="7EC1E264" w14:textId="1A91E55B" w:rsidR="0040507F" w:rsidRDefault="00B331DF">
      <w:pPr>
        <w:spacing w:after="225" w:line="249" w:lineRule="auto"/>
        <w:ind w:left="715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SUBJECT: To consider an application filed by </w:t>
      </w:r>
      <w:r w:rsidR="00FE5296">
        <w:rPr>
          <w:rFonts w:ascii="Times New Roman" w:eastAsia="Times New Roman" w:hAnsi="Times New Roman" w:cs="Times New Roman"/>
          <w:sz w:val="24"/>
        </w:rPr>
        <w:t>Ravi and Kirti Patel</w:t>
      </w:r>
      <w:r>
        <w:rPr>
          <w:rFonts w:ascii="Times New Roman" w:eastAsia="Times New Roman" w:hAnsi="Times New Roman" w:cs="Times New Roman"/>
          <w:sz w:val="24"/>
        </w:rPr>
        <w:t>, for a variance to the Village Zoning Codes: Section 230-7H, Building Area</w:t>
      </w:r>
      <w:r w:rsidR="00FE5296">
        <w:rPr>
          <w:rFonts w:ascii="Times New Roman" w:eastAsia="Times New Roman" w:hAnsi="Times New Roman" w:cs="Times New Roman"/>
          <w:sz w:val="24"/>
        </w:rPr>
        <w:t xml:space="preserve"> a maximum of 25%, the request for the construction of a 1- story rear extension, full 2</w:t>
      </w:r>
      <w:r w:rsidR="00FE5296" w:rsidRPr="00FE5296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="00FE5296">
        <w:rPr>
          <w:rFonts w:ascii="Times New Roman" w:eastAsia="Times New Roman" w:hAnsi="Times New Roman" w:cs="Times New Roman"/>
          <w:sz w:val="24"/>
        </w:rPr>
        <w:t xml:space="preserve"> story over entire 1</w:t>
      </w:r>
      <w:r w:rsidR="00FE5296" w:rsidRPr="00FE5296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FE5296">
        <w:rPr>
          <w:rFonts w:ascii="Times New Roman" w:eastAsia="Times New Roman" w:hAnsi="Times New Roman" w:cs="Times New Roman"/>
          <w:sz w:val="24"/>
        </w:rPr>
        <w:t xml:space="preserve">. floor, and a 1-story front porch, </w:t>
      </w:r>
      <w:r>
        <w:rPr>
          <w:rFonts w:ascii="Times New Roman" w:eastAsia="Times New Roman" w:hAnsi="Times New Roman" w:cs="Times New Roman"/>
          <w:sz w:val="24"/>
        </w:rPr>
        <w:t xml:space="preserve"> in excess of </w:t>
      </w:r>
      <w:r w:rsidR="00FE5296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 xml:space="preserve">maximum 25% lot coverage at </w:t>
      </w:r>
      <w:r w:rsidR="00FE5296">
        <w:rPr>
          <w:rFonts w:ascii="Times New Roman" w:eastAsia="Times New Roman" w:hAnsi="Times New Roman" w:cs="Times New Roman"/>
          <w:sz w:val="24"/>
        </w:rPr>
        <w:t>the property known as 115 Colonial Avenue</w:t>
      </w:r>
      <w:r>
        <w:rPr>
          <w:rFonts w:ascii="Times New Roman" w:eastAsia="Times New Roman" w:hAnsi="Times New Roman" w:cs="Times New Roman"/>
          <w:sz w:val="24"/>
        </w:rPr>
        <w:t>, Williston Park, NY</w:t>
      </w:r>
    </w:p>
    <w:p w14:paraId="6F171029" w14:textId="6131576B" w:rsidR="0040507F" w:rsidRDefault="00B331DF">
      <w:pPr>
        <w:spacing w:after="290" w:line="249" w:lineRule="auto"/>
        <w:ind w:left="715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Interested parties may appear and be heard at the aforesaid time and place</w:t>
      </w:r>
      <w:r w:rsidR="00FE5296">
        <w:rPr>
          <w:rFonts w:ascii="Times New Roman" w:eastAsia="Times New Roman" w:hAnsi="Times New Roman" w:cs="Times New Roman"/>
          <w:sz w:val="24"/>
        </w:rPr>
        <w:t xml:space="preserve">, and all documents regarding said </w:t>
      </w:r>
      <w:r w:rsidR="00CB4170">
        <w:rPr>
          <w:rFonts w:ascii="Times New Roman" w:eastAsia="Times New Roman" w:hAnsi="Times New Roman" w:cs="Times New Roman"/>
          <w:sz w:val="24"/>
        </w:rPr>
        <w:t>application</w:t>
      </w:r>
      <w:r w:rsidR="00FE5296">
        <w:rPr>
          <w:rFonts w:ascii="Times New Roman" w:eastAsia="Times New Roman" w:hAnsi="Times New Roman" w:cs="Times New Roman"/>
          <w:sz w:val="24"/>
        </w:rPr>
        <w:t xml:space="preserve"> can </w:t>
      </w:r>
      <w:r w:rsidR="00CB4170">
        <w:rPr>
          <w:rFonts w:ascii="Times New Roman" w:eastAsia="Times New Roman" w:hAnsi="Times New Roman" w:cs="Times New Roman"/>
          <w:sz w:val="24"/>
        </w:rPr>
        <w:t xml:space="preserve">be </w:t>
      </w:r>
      <w:r w:rsidR="00FE5296">
        <w:rPr>
          <w:rFonts w:ascii="Times New Roman" w:eastAsia="Times New Roman" w:hAnsi="Times New Roman" w:cs="Times New Roman"/>
          <w:sz w:val="24"/>
        </w:rPr>
        <w:t>reviewed during the normal business hours of the Building Department.</w:t>
      </w:r>
    </w:p>
    <w:p w14:paraId="62793C23" w14:textId="77777777" w:rsidR="00B331DF" w:rsidRDefault="00B331DF">
      <w:pPr>
        <w:spacing w:after="290" w:line="249" w:lineRule="auto"/>
        <w:ind w:left="715" w:hanging="5"/>
        <w:jc w:val="both"/>
      </w:pPr>
    </w:p>
    <w:p w14:paraId="62D3DC38" w14:textId="77777777" w:rsidR="0040507F" w:rsidRDefault="00B331DF">
      <w:pPr>
        <w:spacing w:after="3"/>
        <w:ind w:left="3610" w:hanging="10"/>
      </w:pPr>
      <w:r>
        <w:rPr>
          <w:rFonts w:ascii="Times New Roman" w:eastAsia="Times New Roman" w:hAnsi="Times New Roman" w:cs="Times New Roman"/>
          <w:sz w:val="26"/>
        </w:rPr>
        <w:t>BY ORDER OF THE BOARD OF APPEALS</w:t>
      </w:r>
    </w:p>
    <w:p w14:paraId="74B43CC3" w14:textId="013377D4" w:rsidR="0040507F" w:rsidRDefault="00FE5296">
      <w:pPr>
        <w:spacing w:after="503" w:line="265" w:lineRule="auto"/>
        <w:ind w:left="1006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                  William T. Wiley</w:t>
      </w:r>
      <w:r w:rsidR="00B331DF">
        <w:rPr>
          <w:rFonts w:ascii="Times New Roman" w:eastAsia="Times New Roman" w:hAnsi="Times New Roman" w:cs="Times New Roman"/>
          <w:sz w:val="26"/>
        </w:rPr>
        <w:t>, Chairman</w:t>
      </w:r>
    </w:p>
    <w:p w14:paraId="67DBE844" w14:textId="77777777" w:rsidR="00FE5296" w:rsidRDefault="00B331DF">
      <w:pPr>
        <w:spacing w:after="3"/>
        <w:ind w:left="707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Dated: </w:t>
      </w:r>
      <w:r w:rsidR="00FE5296">
        <w:rPr>
          <w:rFonts w:ascii="Times New Roman" w:eastAsia="Times New Roman" w:hAnsi="Times New Roman" w:cs="Times New Roman"/>
          <w:sz w:val="26"/>
        </w:rPr>
        <w:t>February 1, 2024</w:t>
      </w:r>
    </w:p>
    <w:p w14:paraId="5D96DD07" w14:textId="77777777" w:rsidR="00FE5296" w:rsidRDefault="00FE5296">
      <w:pPr>
        <w:spacing w:after="3"/>
        <w:ind w:left="707" w:hanging="10"/>
        <w:rPr>
          <w:rFonts w:ascii="Times New Roman" w:eastAsia="Times New Roman" w:hAnsi="Times New Roman" w:cs="Times New Roman"/>
          <w:sz w:val="26"/>
        </w:rPr>
      </w:pPr>
    </w:p>
    <w:p w14:paraId="3F728E11" w14:textId="77777777" w:rsidR="00FE5296" w:rsidRDefault="00FE5296">
      <w:pPr>
        <w:spacing w:after="3"/>
        <w:ind w:left="707" w:hanging="10"/>
        <w:rPr>
          <w:rFonts w:ascii="Times New Roman" w:eastAsia="Times New Roman" w:hAnsi="Times New Roman" w:cs="Times New Roman"/>
          <w:sz w:val="26"/>
        </w:rPr>
      </w:pPr>
    </w:p>
    <w:p w14:paraId="0D9F81FE" w14:textId="77777777" w:rsidR="00FE5296" w:rsidRDefault="00FE5296">
      <w:pPr>
        <w:spacing w:after="3"/>
        <w:ind w:left="707" w:hanging="10"/>
        <w:rPr>
          <w:rFonts w:ascii="Times New Roman" w:eastAsia="Times New Roman" w:hAnsi="Times New Roman" w:cs="Times New Roman"/>
          <w:sz w:val="26"/>
        </w:rPr>
      </w:pPr>
    </w:p>
    <w:p w14:paraId="3916F6A6" w14:textId="77777777" w:rsidR="00FE5296" w:rsidRDefault="00FE5296">
      <w:pPr>
        <w:spacing w:after="3"/>
        <w:ind w:left="707" w:hanging="10"/>
        <w:rPr>
          <w:rFonts w:ascii="Times New Roman" w:eastAsia="Times New Roman" w:hAnsi="Times New Roman" w:cs="Times New Roman"/>
          <w:sz w:val="26"/>
        </w:rPr>
      </w:pPr>
    </w:p>
    <w:p w14:paraId="5E424091" w14:textId="77777777" w:rsidR="00FE5296" w:rsidRDefault="00FE5296">
      <w:pPr>
        <w:spacing w:after="3"/>
        <w:ind w:left="707" w:hanging="10"/>
        <w:rPr>
          <w:rFonts w:ascii="Times New Roman" w:eastAsia="Times New Roman" w:hAnsi="Times New Roman" w:cs="Times New Roman"/>
          <w:sz w:val="26"/>
        </w:rPr>
      </w:pPr>
    </w:p>
    <w:sectPr w:rsidR="00FE5296" w:rsidSect="00FE5296">
      <w:pgSz w:w="12240" w:h="15840"/>
      <w:pgMar w:top="1440" w:right="1444" w:bottom="1440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35E1"/>
    <w:multiLevelType w:val="hybridMultilevel"/>
    <w:tmpl w:val="6CD6E12E"/>
    <w:lvl w:ilvl="0" w:tplc="297E1E32">
      <w:start w:val="1"/>
      <w:numFmt w:val="bullet"/>
      <w:lvlText w:val="•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A20AB1C">
      <w:start w:val="1"/>
      <w:numFmt w:val="bullet"/>
      <w:lvlText w:val="o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D5409BA2">
      <w:start w:val="1"/>
      <w:numFmt w:val="bullet"/>
      <w:lvlText w:val="▪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84EB546">
      <w:start w:val="1"/>
      <w:numFmt w:val="bullet"/>
      <w:lvlText w:val="•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F6B4D84E">
      <w:start w:val="1"/>
      <w:numFmt w:val="bullet"/>
      <w:lvlText w:val="o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32A09C6">
      <w:start w:val="1"/>
      <w:numFmt w:val="bullet"/>
      <w:lvlText w:val="▪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670F678">
      <w:start w:val="1"/>
      <w:numFmt w:val="bullet"/>
      <w:lvlText w:val="•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0D4C1B6">
      <w:start w:val="1"/>
      <w:numFmt w:val="bullet"/>
      <w:lvlText w:val="o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D0E1B76">
      <w:start w:val="1"/>
      <w:numFmt w:val="bullet"/>
      <w:lvlText w:val="▪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687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7F"/>
    <w:rsid w:val="0040507F"/>
    <w:rsid w:val="00707EB9"/>
    <w:rsid w:val="00B331DF"/>
    <w:rsid w:val="00BB3139"/>
    <w:rsid w:val="00CB4170"/>
    <w:rsid w:val="00E111E6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6032"/>
  <w15:docId w15:val="{D4D5FE51-DAB2-4AA7-8D62-6EB96C81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Microsoft JhengHei" w:eastAsia="Microsoft JhengHei" w:hAnsi="Microsoft JhengHei" w:cs="Microsoft JhengHe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2890" w:hanging="10"/>
      <w:outlineLvl w:val="0"/>
    </w:pPr>
    <w:rPr>
      <w:rFonts w:ascii="Microsoft JhengHei" w:eastAsia="Microsoft JhengHei" w:hAnsi="Microsoft JhengHei" w:cs="Microsoft JhengHei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59" w:lineRule="auto"/>
      <w:ind w:left="10" w:hanging="10"/>
      <w:outlineLvl w:val="1"/>
    </w:pPr>
    <w:rPr>
      <w:rFonts w:ascii="Microsoft JhengHei" w:eastAsia="Microsoft JhengHei" w:hAnsi="Microsoft JhengHei" w:cs="Microsoft JhengHei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59" w:lineRule="auto"/>
      <w:ind w:left="10" w:hanging="10"/>
      <w:outlineLvl w:val="2"/>
    </w:pPr>
    <w:rPr>
      <w:rFonts w:ascii="Microsoft JhengHei" w:eastAsia="Microsoft JhengHei" w:hAnsi="Microsoft JhengHei" w:cs="Microsoft JhengHe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icrosoft JhengHei" w:eastAsia="Microsoft JhengHei" w:hAnsi="Microsoft JhengHei" w:cs="Microsoft JhengHei"/>
      <w:color w:val="000000"/>
      <w:sz w:val="30"/>
    </w:rPr>
  </w:style>
  <w:style w:type="character" w:customStyle="1" w:styleId="Heading2Char">
    <w:name w:val="Heading 2 Char"/>
    <w:link w:val="Heading2"/>
    <w:rPr>
      <w:rFonts w:ascii="Microsoft JhengHei" w:eastAsia="Microsoft JhengHei" w:hAnsi="Microsoft JhengHei" w:cs="Microsoft JhengHei"/>
      <w:color w:val="000000"/>
      <w:sz w:val="24"/>
    </w:rPr>
  </w:style>
  <w:style w:type="character" w:customStyle="1" w:styleId="Heading3Char">
    <w:name w:val="Heading 3 Char"/>
    <w:link w:val="Heading3"/>
    <w:rPr>
      <w:rFonts w:ascii="Microsoft JhengHei" w:eastAsia="Microsoft JhengHei" w:hAnsi="Microsoft JhengHei" w:cs="Microsoft JhengHe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Dean</dc:creator>
  <cp:keywords/>
  <cp:lastModifiedBy>Kelly Dean</cp:lastModifiedBy>
  <cp:revision>4</cp:revision>
  <cp:lastPrinted>2024-02-01T14:18:00Z</cp:lastPrinted>
  <dcterms:created xsi:type="dcterms:W3CDTF">2024-02-01T14:47:00Z</dcterms:created>
  <dcterms:modified xsi:type="dcterms:W3CDTF">2024-02-05T16:27:00Z</dcterms:modified>
</cp:coreProperties>
</file>